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37" w:rsidRPr="003008C6" w:rsidRDefault="00950667">
      <w:pPr>
        <w:pStyle w:val="Tijeloteksta"/>
        <w:spacing w:before="73" w:line="275" w:lineRule="exact"/>
        <w:ind w:left="2232" w:right="2204"/>
        <w:jc w:val="center"/>
        <w:rPr>
          <w:b/>
        </w:rPr>
      </w:pPr>
      <w:r w:rsidRPr="003008C6">
        <w:rPr>
          <w:b/>
          <w:color w:val="1D1D1D"/>
          <w:w w:val="105"/>
        </w:rPr>
        <w:t>O</w:t>
      </w:r>
      <w:r w:rsidRPr="003008C6">
        <w:rPr>
          <w:b/>
          <w:color w:val="1D1D1D"/>
          <w:spacing w:val="-10"/>
          <w:w w:val="105"/>
        </w:rPr>
        <w:t xml:space="preserve"> </w:t>
      </w:r>
      <w:r w:rsidRPr="003008C6">
        <w:rPr>
          <w:b/>
          <w:color w:val="1D1D1D"/>
          <w:w w:val="105"/>
        </w:rPr>
        <w:t>b</w:t>
      </w:r>
      <w:r w:rsidRPr="003008C6">
        <w:rPr>
          <w:b/>
          <w:color w:val="1D1D1D"/>
          <w:spacing w:val="-7"/>
          <w:w w:val="105"/>
        </w:rPr>
        <w:t xml:space="preserve"> </w:t>
      </w:r>
      <w:r w:rsidRPr="003008C6">
        <w:rPr>
          <w:b/>
          <w:color w:val="1D1D1D"/>
          <w:w w:val="105"/>
        </w:rPr>
        <w:t>r</w:t>
      </w:r>
      <w:r w:rsidRPr="003008C6">
        <w:rPr>
          <w:b/>
          <w:color w:val="1D1D1D"/>
          <w:spacing w:val="-5"/>
          <w:w w:val="105"/>
        </w:rPr>
        <w:t xml:space="preserve"> </w:t>
      </w:r>
      <w:r w:rsidRPr="003008C6">
        <w:rPr>
          <w:b/>
          <w:color w:val="1D1D1D"/>
          <w:w w:val="105"/>
        </w:rPr>
        <w:t>a</w:t>
      </w:r>
      <w:r w:rsidRPr="003008C6">
        <w:rPr>
          <w:b/>
          <w:color w:val="1D1D1D"/>
          <w:spacing w:val="-8"/>
          <w:w w:val="105"/>
        </w:rPr>
        <w:t xml:space="preserve"> </w:t>
      </w:r>
      <w:r w:rsidRPr="003008C6">
        <w:rPr>
          <w:b/>
          <w:color w:val="1D1D1D"/>
          <w:w w:val="105"/>
        </w:rPr>
        <w:t>z</w:t>
      </w:r>
      <w:r w:rsidRPr="003008C6">
        <w:rPr>
          <w:b/>
          <w:color w:val="1D1D1D"/>
          <w:spacing w:val="-16"/>
          <w:w w:val="105"/>
        </w:rPr>
        <w:t xml:space="preserve"> </w:t>
      </w:r>
      <w:r w:rsidRPr="003008C6">
        <w:rPr>
          <w:b/>
          <w:color w:val="1D1D1D"/>
          <w:w w:val="105"/>
        </w:rPr>
        <w:t>I</w:t>
      </w:r>
      <w:r w:rsidRPr="003008C6">
        <w:rPr>
          <w:b/>
          <w:color w:val="1D1D1D"/>
          <w:spacing w:val="-5"/>
          <w:w w:val="105"/>
        </w:rPr>
        <w:t xml:space="preserve"> </w:t>
      </w:r>
      <w:r w:rsidRPr="003008C6">
        <w:rPr>
          <w:b/>
          <w:color w:val="1D1D1D"/>
          <w:w w:val="105"/>
        </w:rPr>
        <w:t>o</w:t>
      </w:r>
      <w:r w:rsidRPr="003008C6">
        <w:rPr>
          <w:b/>
          <w:color w:val="1D1D1D"/>
          <w:spacing w:val="-9"/>
          <w:w w:val="105"/>
        </w:rPr>
        <w:t xml:space="preserve"> </w:t>
      </w:r>
      <w:r w:rsidRPr="003008C6">
        <w:rPr>
          <w:b/>
          <w:color w:val="1D1D1D"/>
          <w:w w:val="105"/>
        </w:rPr>
        <w:t>ž</w:t>
      </w:r>
      <w:r w:rsidRPr="003008C6">
        <w:rPr>
          <w:b/>
          <w:color w:val="1D1D1D"/>
          <w:spacing w:val="-16"/>
          <w:w w:val="105"/>
        </w:rPr>
        <w:t xml:space="preserve"> </w:t>
      </w:r>
      <w:r w:rsidRPr="003008C6">
        <w:rPr>
          <w:b/>
          <w:color w:val="1D1D1D"/>
          <w:w w:val="105"/>
        </w:rPr>
        <w:t>e</w:t>
      </w:r>
      <w:r w:rsidRPr="003008C6">
        <w:rPr>
          <w:b/>
          <w:color w:val="1D1D1D"/>
          <w:spacing w:val="-7"/>
          <w:w w:val="105"/>
        </w:rPr>
        <w:t xml:space="preserve"> </w:t>
      </w:r>
      <w:r w:rsidRPr="003008C6">
        <w:rPr>
          <w:b/>
          <w:color w:val="1D1D1D"/>
          <w:w w:val="105"/>
        </w:rPr>
        <w:t>n</w:t>
      </w:r>
      <w:r w:rsidRPr="003008C6">
        <w:rPr>
          <w:b/>
          <w:color w:val="1D1D1D"/>
          <w:spacing w:val="-12"/>
          <w:w w:val="105"/>
        </w:rPr>
        <w:t xml:space="preserve"> </w:t>
      </w:r>
      <w:r w:rsidRPr="003008C6">
        <w:rPr>
          <w:b/>
          <w:color w:val="1D1D1D"/>
          <w:w w:val="105"/>
        </w:rPr>
        <w:t>j</w:t>
      </w:r>
      <w:r w:rsidRPr="003008C6">
        <w:rPr>
          <w:b/>
          <w:color w:val="1D1D1D"/>
          <w:spacing w:val="-6"/>
          <w:w w:val="105"/>
        </w:rPr>
        <w:t xml:space="preserve"> </w:t>
      </w:r>
      <w:r w:rsidRPr="003008C6">
        <w:rPr>
          <w:b/>
          <w:color w:val="1D1D1D"/>
          <w:spacing w:val="-10"/>
          <w:w w:val="105"/>
        </w:rPr>
        <w:t>e</w:t>
      </w:r>
    </w:p>
    <w:p w:rsidR="007E0237" w:rsidRPr="003008C6" w:rsidRDefault="00950667">
      <w:pPr>
        <w:pStyle w:val="Naslov1"/>
        <w:spacing w:line="275" w:lineRule="exact"/>
        <w:ind w:left="2232" w:right="2224" w:firstLine="0"/>
        <w:jc w:val="center"/>
      </w:pPr>
      <w:r w:rsidRPr="003008C6">
        <w:rPr>
          <w:color w:val="1D1D1D"/>
          <w:spacing w:val="-4"/>
        </w:rPr>
        <w:t>Nacrta</w:t>
      </w:r>
      <w:r w:rsidRPr="003008C6">
        <w:rPr>
          <w:color w:val="1D1D1D"/>
          <w:spacing w:val="-12"/>
        </w:rPr>
        <w:t xml:space="preserve"> </w:t>
      </w:r>
      <w:r w:rsidRPr="003008C6">
        <w:rPr>
          <w:color w:val="1D1D1D"/>
          <w:spacing w:val="-4"/>
        </w:rPr>
        <w:t>Odluke</w:t>
      </w:r>
      <w:r w:rsidRPr="003008C6">
        <w:rPr>
          <w:color w:val="1D1D1D"/>
          <w:spacing w:val="7"/>
        </w:rPr>
        <w:t xml:space="preserve"> </w:t>
      </w:r>
      <w:r w:rsidRPr="003008C6">
        <w:rPr>
          <w:color w:val="1D1D1D"/>
          <w:spacing w:val="-4"/>
        </w:rPr>
        <w:t>o</w:t>
      </w:r>
      <w:r w:rsidRPr="003008C6">
        <w:rPr>
          <w:color w:val="1D1D1D"/>
          <w:spacing w:val="-13"/>
        </w:rPr>
        <w:t xml:space="preserve"> </w:t>
      </w:r>
      <w:r w:rsidRPr="003008C6">
        <w:rPr>
          <w:color w:val="1D1D1D"/>
          <w:spacing w:val="-4"/>
        </w:rPr>
        <w:t>porezima</w:t>
      </w:r>
      <w:r w:rsidRPr="003008C6">
        <w:rPr>
          <w:color w:val="1D1D1D"/>
          <w:spacing w:val="6"/>
        </w:rPr>
        <w:t xml:space="preserve"> </w:t>
      </w:r>
      <w:r w:rsidRPr="003008C6">
        <w:rPr>
          <w:color w:val="1D1D1D"/>
          <w:spacing w:val="-4"/>
        </w:rPr>
        <w:t xml:space="preserve">Grada </w:t>
      </w:r>
      <w:r w:rsidR="00B551BB" w:rsidRPr="003008C6">
        <w:rPr>
          <w:color w:val="1D1D1D"/>
          <w:spacing w:val="-4"/>
        </w:rPr>
        <w:t>Raba</w:t>
      </w:r>
    </w:p>
    <w:p w:rsidR="007E0237" w:rsidRPr="003008C6" w:rsidRDefault="007E0237">
      <w:pPr>
        <w:pStyle w:val="Tijeloteksta"/>
        <w:rPr>
          <w:b/>
        </w:rPr>
      </w:pPr>
    </w:p>
    <w:p w:rsidR="007E0237" w:rsidRPr="003008C6" w:rsidRDefault="007E0237">
      <w:pPr>
        <w:pStyle w:val="Tijeloteksta"/>
        <w:rPr>
          <w:b/>
        </w:rPr>
      </w:pPr>
    </w:p>
    <w:p w:rsidR="007E0237" w:rsidRPr="003008C6" w:rsidRDefault="00950667">
      <w:pPr>
        <w:pStyle w:val="Odlomakpopisa"/>
        <w:numPr>
          <w:ilvl w:val="0"/>
          <w:numId w:val="1"/>
        </w:numPr>
        <w:tabs>
          <w:tab w:val="left" w:pos="335"/>
        </w:tabs>
        <w:spacing w:before="201"/>
        <w:ind w:hanging="192"/>
        <w:rPr>
          <w:b/>
          <w:sz w:val="24"/>
          <w:szCs w:val="24"/>
        </w:rPr>
      </w:pPr>
      <w:r w:rsidRPr="003008C6">
        <w:rPr>
          <w:b/>
          <w:color w:val="1D1D1D"/>
          <w:spacing w:val="-4"/>
          <w:sz w:val="24"/>
          <w:szCs w:val="24"/>
        </w:rPr>
        <w:t>PRAVNI</w:t>
      </w:r>
      <w:r w:rsidRPr="003008C6">
        <w:rPr>
          <w:b/>
          <w:color w:val="1D1D1D"/>
          <w:spacing w:val="-12"/>
          <w:sz w:val="24"/>
          <w:szCs w:val="24"/>
        </w:rPr>
        <w:t xml:space="preserve"> </w:t>
      </w:r>
      <w:r w:rsidRPr="003008C6">
        <w:rPr>
          <w:b/>
          <w:color w:val="1D1D1D"/>
          <w:spacing w:val="-4"/>
          <w:sz w:val="24"/>
          <w:szCs w:val="24"/>
        </w:rPr>
        <w:t>TEMELJ</w:t>
      </w:r>
      <w:r w:rsidRPr="003008C6">
        <w:rPr>
          <w:b/>
          <w:color w:val="1D1D1D"/>
          <w:spacing w:val="-7"/>
          <w:sz w:val="24"/>
          <w:szCs w:val="24"/>
        </w:rPr>
        <w:t xml:space="preserve"> </w:t>
      </w:r>
      <w:r w:rsidRPr="003008C6">
        <w:rPr>
          <w:b/>
          <w:color w:val="1D1D1D"/>
          <w:spacing w:val="-4"/>
          <w:sz w:val="24"/>
          <w:szCs w:val="24"/>
        </w:rPr>
        <w:t>ZA</w:t>
      </w:r>
      <w:r w:rsidRPr="003008C6">
        <w:rPr>
          <w:b/>
          <w:color w:val="1D1D1D"/>
          <w:spacing w:val="-13"/>
          <w:sz w:val="24"/>
          <w:szCs w:val="24"/>
        </w:rPr>
        <w:t xml:space="preserve"> </w:t>
      </w:r>
      <w:r w:rsidRPr="003008C6">
        <w:rPr>
          <w:b/>
          <w:color w:val="1D1D1D"/>
          <w:spacing w:val="-4"/>
          <w:sz w:val="24"/>
          <w:szCs w:val="24"/>
        </w:rPr>
        <w:t>DONOŠENJE</w:t>
      </w:r>
      <w:r w:rsidRPr="003008C6">
        <w:rPr>
          <w:b/>
          <w:color w:val="1D1D1D"/>
          <w:spacing w:val="-3"/>
          <w:sz w:val="24"/>
          <w:szCs w:val="24"/>
        </w:rPr>
        <w:t xml:space="preserve"> </w:t>
      </w:r>
      <w:r w:rsidRPr="003008C6">
        <w:rPr>
          <w:b/>
          <w:color w:val="1D1D1D"/>
          <w:spacing w:val="-4"/>
          <w:sz w:val="24"/>
          <w:szCs w:val="24"/>
        </w:rPr>
        <w:t>ODLUKE</w:t>
      </w:r>
    </w:p>
    <w:p w:rsidR="007E0237" w:rsidRPr="003008C6" w:rsidRDefault="007E0237">
      <w:pPr>
        <w:pStyle w:val="Tijeloteksta"/>
        <w:spacing w:before="4"/>
        <w:rPr>
          <w:b/>
        </w:rPr>
      </w:pPr>
    </w:p>
    <w:p w:rsidR="007E0237" w:rsidRPr="00DD3F98" w:rsidRDefault="00950667" w:rsidP="003008C6">
      <w:pPr>
        <w:pStyle w:val="Tijeloteksta"/>
        <w:rPr>
          <w:sz w:val="22"/>
          <w:szCs w:val="22"/>
        </w:rPr>
      </w:pPr>
      <w:r w:rsidRPr="00DD3F98">
        <w:rPr>
          <w:sz w:val="22"/>
          <w:szCs w:val="22"/>
        </w:rPr>
        <w:t xml:space="preserve">Pravni temelj za donošenje Odluke o porezima Grada </w:t>
      </w:r>
      <w:r w:rsidR="00B551BB" w:rsidRPr="00DD3F98">
        <w:rPr>
          <w:sz w:val="22"/>
          <w:szCs w:val="22"/>
        </w:rPr>
        <w:t>Raba</w:t>
      </w:r>
      <w:r w:rsidRPr="00DD3F98">
        <w:rPr>
          <w:sz w:val="22"/>
          <w:szCs w:val="22"/>
        </w:rPr>
        <w:t xml:space="preserve"> (u daljnjem tekstu: Prijedlog odluke) sadržan je u članku 42. stavku 1. Zakona o lokalnim porezima (“Narodne novine” broj 115/16, 101/17, 114/22 i 114/23) koji izme</w:t>
      </w:r>
      <w:r w:rsidR="00B551BB" w:rsidRPr="00DD3F98">
        <w:rPr>
          <w:sz w:val="22"/>
          <w:szCs w:val="22"/>
        </w:rPr>
        <w:t>đ</w:t>
      </w:r>
      <w:r w:rsidRPr="00DD3F98">
        <w:rPr>
          <w:sz w:val="22"/>
          <w:szCs w:val="22"/>
        </w:rPr>
        <w:t>u ostaloga, propisuje da predstavničko tijelo jedinice lokalne samouprave svojom odlukom utvr</w:t>
      </w:r>
      <w:r w:rsidR="00B551BB" w:rsidRPr="00DD3F98">
        <w:rPr>
          <w:sz w:val="22"/>
          <w:szCs w:val="22"/>
        </w:rPr>
        <w:t>đ</w:t>
      </w:r>
      <w:r w:rsidRPr="00DD3F98">
        <w:rPr>
          <w:sz w:val="22"/>
          <w:szCs w:val="22"/>
        </w:rPr>
        <w:t>uje, za potrebe plaćanja poreza na kuće za odmor visinu poreza i nadležno porezno tijelo za utvr</w:t>
      </w:r>
      <w:r w:rsidR="00B551BB" w:rsidRPr="00DD3F98">
        <w:rPr>
          <w:sz w:val="22"/>
          <w:szCs w:val="22"/>
        </w:rPr>
        <w:t>đ</w:t>
      </w:r>
      <w:r w:rsidRPr="00DD3F98">
        <w:rPr>
          <w:sz w:val="22"/>
          <w:szCs w:val="22"/>
        </w:rPr>
        <w:t>ivanje i naplatu poreza.</w:t>
      </w:r>
    </w:p>
    <w:p w:rsidR="007E0237" w:rsidRPr="00DD3F98" w:rsidRDefault="00950667" w:rsidP="003008C6">
      <w:pPr>
        <w:pStyle w:val="Tijeloteksta"/>
        <w:rPr>
          <w:sz w:val="22"/>
          <w:szCs w:val="22"/>
        </w:rPr>
      </w:pPr>
      <w:r w:rsidRPr="00DD3F98">
        <w:rPr>
          <w:sz w:val="22"/>
          <w:szCs w:val="22"/>
        </w:rPr>
        <w:t xml:space="preserve">Nadalje, temelj za donošenje Prijedloga odluke je i članak </w:t>
      </w:r>
      <w:r w:rsidR="00B551BB" w:rsidRPr="00DD3F98">
        <w:rPr>
          <w:sz w:val="22"/>
          <w:szCs w:val="22"/>
        </w:rPr>
        <w:t>22</w:t>
      </w:r>
      <w:r w:rsidRPr="00DD3F98">
        <w:rPr>
          <w:sz w:val="22"/>
          <w:szCs w:val="22"/>
        </w:rPr>
        <w:t xml:space="preserve">. </w:t>
      </w:r>
      <w:r w:rsidR="00B551BB" w:rsidRPr="00DD3F98">
        <w:rPr>
          <w:sz w:val="22"/>
          <w:szCs w:val="22"/>
        </w:rPr>
        <w:t xml:space="preserve">Statuta Grada Raba („Službene novine Primorsko-goranske županije“ broj 4/21) </w:t>
      </w:r>
      <w:r w:rsidRPr="00DD3F98">
        <w:rPr>
          <w:sz w:val="22"/>
          <w:szCs w:val="22"/>
        </w:rPr>
        <w:t xml:space="preserve"> kojim je propisano da Gradsko vijeće donosi odluke i druge opće akte kojima ureduje pitanja iz samoupravnog djelokruga Grada </w:t>
      </w:r>
      <w:r w:rsidR="00B551BB" w:rsidRPr="00DD3F98">
        <w:rPr>
          <w:sz w:val="22"/>
          <w:szCs w:val="22"/>
        </w:rPr>
        <w:t>Raba</w:t>
      </w:r>
      <w:r w:rsidRPr="00DD3F98">
        <w:rPr>
          <w:sz w:val="22"/>
          <w:szCs w:val="22"/>
        </w:rPr>
        <w:t>.</w:t>
      </w:r>
    </w:p>
    <w:p w:rsidR="003008C6" w:rsidRPr="00DD3F98" w:rsidRDefault="003008C6" w:rsidP="003008C6">
      <w:pPr>
        <w:pStyle w:val="Tijeloteksta"/>
        <w:rPr>
          <w:sz w:val="22"/>
          <w:szCs w:val="22"/>
        </w:rPr>
      </w:pPr>
    </w:p>
    <w:p w:rsidR="007E0237" w:rsidRPr="003008C6" w:rsidRDefault="007E0237">
      <w:pPr>
        <w:pStyle w:val="Tijeloteksta"/>
        <w:spacing w:before="7"/>
      </w:pPr>
    </w:p>
    <w:p w:rsidR="007E0237" w:rsidRPr="003008C6" w:rsidRDefault="00950667">
      <w:pPr>
        <w:pStyle w:val="Naslov1"/>
        <w:numPr>
          <w:ilvl w:val="0"/>
          <w:numId w:val="1"/>
        </w:numPr>
        <w:tabs>
          <w:tab w:val="left" w:pos="443"/>
        </w:tabs>
        <w:spacing w:line="235" w:lineRule="auto"/>
        <w:ind w:left="132" w:right="141" w:firstLine="1"/>
        <w:rPr>
          <w:b w:val="0"/>
        </w:rPr>
      </w:pPr>
      <w:r w:rsidRPr="003008C6">
        <w:rPr>
          <w:color w:val="1D1D1D"/>
        </w:rPr>
        <w:t xml:space="preserve">OCJENA STANJA, OSNOVNA PITANJA KOJA SE TREBAJU UREDITI I </w:t>
      </w:r>
      <w:r w:rsidRPr="003008C6">
        <w:rPr>
          <w:color w:val="1D1D1D"/>
          <w:spacing w:val="-2"/>
        </w:rPr>
        <w:t>SVRHA</w:t>
      </w:r>
      <w:r w:rsidRPr="003008C6">
        <w:rPr>
          <w:color w:val="1D1D1D"/>
          <w:spacing w:val="-12"/>
        </w:rPr>
        <w:t xml:space="preserve"> </w:t>
      </w:r>
      <w:r w:rsidRPr="003008C6">
        <w:rPr>
          <w:color w:val="1D1D1D"/>
          <w:spacing w:val="-2"/>
        </w:rPr>
        <w:t>KOJA</w:t>
      </w:r>
      <w:r w:rsidRPr="003008C6">
        <w:rPr>
          <w:color w:val="1D1D1D"/>
          <w:spacing w:val="-8"/>
        </w:rPr>
        <w:t xml:space="preserve"> </w:t>
      </w:r>
      <w:r w:rsidRPr="003008C6">
        <w:rPr>
          <w:color w:val="1D1D1D"/>
          <w:spacing w:val="-2"/>
        </w:rPr>
        <w:t>SE</w:t>
      </w:r>
      <w:r w:rsidRPr="003008C6">
        <w:rPr>
          <w:color w:val="1D1D1D"/>
          <w:spacing w:val="-15"/>
        </w:rPr>
        <w:t xml:space="preserve"> </w:t>
      </w:r>
      <w:r w:rsidRPr="003008C6">
        <w:rPr>
          <w:color w:val="1D1D1D"/>
          <w:spacing w:val="-2"/>
        </w:rPr>
        <w:t>ŽELI</w:t>
      </w:r>
      <w:r w:rsidRPr="003008C6">
        <w:rPr>
          <w:color w:val="1D1D1D"/>
          <w:spacing w:val="-15"/>
        </w:rPr>
        <w:t xml:space="preserve"> </w:t>
      </w:r>
      <w:r w:rsidRPr="003008C6">
        <w:rPr>
          <w:color w:val="1D1D1D"/>
          <w:spacing w:val="-2"/>
        </w:rPr>
        <w:t>POSTIĆI</w:t>
      </w:r>
      <w:r w:rsidRPr="003008C6">
        <w:rPr>
          <w:color w:val="1D1D1D"/>
          <w:spacing w:val="-5"/>
        </w:rPr>
        <w:t xml:space="preserve"> </w:t>
      </w:r>
      <w:r w:rsidRPr="003008C6">
        <w:rPr>
          <w:color w:val="1D1D1D"/>
          <w:spacing w:val="-2"/>
        </w:rPr>
        <w:t>UREDIVANJEM</w:t>
      </w:r>
      <w:r w:rsidRPr="003008C6">
        <w:rPr>
          <w:color w:val="1D1D1D"/>
          <w:spacing w:val="-8"/>
        </w:rPr>
        <w:t xml:space="preserve"> </w:t>
      </w:r>
      <w:r w:rsidRPr="003008C6">
        <w:rPr>
          <w:color w:val="1D1D1D"/>
          <w:spacing w:val="-2"/>
        </w:rPr>
        <w:t>ODNOSA NA</w:t>
      </w:r>
      <w:r w:rsidRPr="003008C6">
        <w:rPr>
          <w:color w:val="1D1D1D"/>
          <w:spacing w:val="-15"/>
        </w:rPr>
        <w:t xml:space="preserve"> </w:t>
      </w:r>
      <w:r w:rsidRPr="003008C6">
        <w:rPr>
          <w:color w:val="1D1D1D"/>
          <w:spacing w:val="-2"/>
        </w:rPr>
        <w:t>PREDLOŽENI NAČIN</w:t>
      </w:r>
    </w:p>
    <w:p w:rsidR="007E0237" w:rsidRPr="00DD3F98" w:rsidRDefault="007E0237">
      <w:pPr>
        <w:pStyle w:val="Tijeloteksta"/>
        <w:spacing w:before="1"/>
        <w:rPr>
          <w:sz w:val="22"/>
          <w:szCs w:val="22"/>
        </w:rPr>
      </w:pPr>
    </w:p>
    <w:p w:rsidR="007E0237" w:rsidRPr="00DD3F98" w:rsidRDefault="00950667" w:rsidP="003008C6">
      <w:pPr>
        <w:pStyle w:val="Tijeloteksta"/>
        <w:rPr>
          <w:sz w:val="22"/>
          <w:szCs w:val="22"/>
        </w:rPr>
      </w:pPr>
      <w:r w:rsidRPr="00DD3F98">
        <w:rPr>
          <w:sz w:val="22"/>
          <w:szCs w:val="22"/>
        </w:rPr>
        <w:t xml:space="preserve">Porezi koje Grad </w:t>
      </w:r>
      <w:r w:rsidR="00C428B9" w:rsidRPr="00DD3F98">
        <w:rPr>
          <w:sz w:val="22"/>
          <w:szCs w:val="22"/>
        </w:rPr>
        <w:t>Rab</w:t>
      </w:r>
      <w:r w:rsidRPr="00DD3F98">
        <w:rPr>
          <w:sz w:val="22"/>
          <w:szCs w:val="22"/>
        </w:rPr>
        <w:t xml:space="preserve"> kao jedinica lokalne samouprave svojom Odlukom može uvesti su: porez na potrošnju, porez na kuće za odmor i porez na korištenje javnih površina, a </w:t>
      </w:r>
      <w:r w:rsidR="009454FB" w:rsidRPr="00DD3F98">
        <w:rPr>
          <w:sz w:val="22"/>
          <w:szCs w:val="22"/>
        </w:rPr>
        <w:t>ovom Odlukom o izmjeni</w:t>
      </w:r>
      <w:r w:rsidRPr="00DD3F98">
        <w:rPr>
          <w:sz w:val="22"/>
          <w:szCs w:val="22"/>
        </w:rPr>
        <w:t xml:space="preserve"> Odluke predlaže se </w:t>
      </w:r>
      <w:r w:rsidR="009454FB" w:rsidRPr="00DD3F98">
        <w:rPr>
          <w:sz w:val="22"/>
          <w:szCs w:val="22"/>
        </w:rPr>
        <w:t xml:space="preserve">promjena </w:t>
      </w:r>
      <w:r w:rsidRPr="00DD3F98">
        <w:rPr>
          <w:sz w:val="22"/>
          <w:szCs w:val="22"/>
        </w:rPr>
        <w:t>poreza na kuće za odmor, kako je to utvr</w:t>
      </w:r>
      <w:r w:rsidR="00C428B9" w:rsidRPr="00DD3F98">
        <w:rPr>
          <w:sz w:val="22"/>
          <w:szCs w:val="22"/>
        </w:rPr>
        <w:t>đ</w:t>
      </w:r>
      <w:r w:rsidRPr="00DD3F98">
        <w:rPr>
          <w:sz w:val="22"/>
          <w:szCs w:val="22"/>
        </w:rPr>
        <w:t xml:space="preserve">eno i važećom Odlukom o porezima Grada </w:t>
      </w:r>
      <w:r w:rsidR="00C428B9" w:rsidRPr="00DD3F98">
        <w:rPr>
          <w:sz w:val="22"/>
          <w:szCs w:val="22"/>
        </w:rPr>
        <w:t>Raba</w:t>
      </w:r>
      <w:r w:rsidRPr="00DD3F98">
        <w:rPr>
          <w:sz w:val="22"/>
          <w:szCs w:val="22"/>
        </w:rPr>
        <w:t xml:space="preserve"> (»Službene novine Primorsko-goranske županije« broj 4</w:t>
      </w:r>
      <w:r w:rsidR="002B67F8" w:rsidRPr="00DD3F98">
        <w:rPr>
          <w:sz w:val="22"/>
          <w:szCs w:val="22"/>
        </w:rPr>
        <w:t>3</w:t>
      </w:r>
      <w:r w:rsidRPr="00DD3F98">
        <w:rPr>
          <w:sz w:val="22"/>
          <w:szCs w:val="22"/>
        </w:rPr>
        <w:t>/2</w:t>
      </w:r>
      <w:r w:rsidR="002B67F8" w:rsidRPr="00DD3F98">
        <w:rPr>
          <w:sz w:val="22"/>
          <w:szCs w:val="22"/>
        </w:rPr>
        <w:t>2</w:t>
      </w:r>
      <w:r w:rsidRPr="00DD3F98">
        <w:rPr>
          <w:sz w:val="22"/>
          <w:szCs w:val="22"/>
        </w:rPr>
        <w:t>).</w:t>
      </w:r>
    </w:p>
    <w:p w:rsidR="007E0237" w:rsidRPr="00DD3F98" w:rsidRDefault="007E0237" w:rsidP="003008C6">
      <w:pPr>
        <w:pStyle w:val="Tijeloteksta"/>
        <w:rPr>
          <w:sz w:val="22"/>
          <w:szCs w:val="22"/>
        </w:rPr>
      </w:pPr>
    </w:p>
    <w:p w:rsidR="007E0237" w:rsidRPr="00DD3F98" w:rsidRDefault="00950667" w:rsidP="003008C6">
      <w:pPr>
        <w:pStyle w:val="Tijeloteksta"/>
        <w:rPr>
          <w:sz w:val="22"/>
          <w:szCs w:val="22"/>
        </w:rPr>
      </w:pPr>
      <w:r w:rsidRPr="00DD3F98">
        <w:rPr>
          <w:sz w:val="22"/>
          <w:szCs w:val="22"/>
        </w:rPr>
        <w:t>Odredbama članka 26. Zakona o lokalnim porezima propisano je da se porez na kuće za odmor plaća od 0,60 do 5,00 eura/m2 korisne površine kuće za odmor, te da visinu poreza propisuje svojom odlukom predstavničko tijelo jedinice lokalne samouprave.</w:t>
      </w:r>
    </w:p>
    <w:p w:rsidR="007E0237" w:rsidRPr="00DD3F98" w:rsidRDefault="007E0237" w:rsidP="003008C6">
      <w:pPr>
        <w:pStyle w:val="Tijeloteksta"/>
        <w:rPr>
          <w:sz w:val="22"/>
          <w:szCs w:val="22"/>
        </w:rPr>
      </w:pPr>
    </w:p>
    <w:p w:rsidR="007E0237" w:rsidRPr="00DD3F98" w:rsidRDefault="00950667" w:rsidP="003008C6">
      <w:pPr>
        <w:pStyle w:val="Tijeloteksta"/>
        <w:rPr>
          <w:sz w:val="22"/>
          <w:szCs w:val="22"/>
        </w:rPr>
      </w:pPr>
      <w:r w:rsidRPr="00DD3F98">
        <w:rPr>
          <w:sz w:val="22"/>
          <w:szCs w:val="22"/>
        </w:rPr>
        <w:t>Prema dosadašnjoj odluci, porez na kuće za odmor iznosi 1,99 eura/15,00 kuna po jednom četvornom metru korisne površine kuće za odmor na cijelom području Grada.</w:t>
      </w:r>
    </w:p>
    <w:p w:rsidR="007E0237" w:rsidRPr="00DD3F98" w:rsidRDefault="007E0237" w:rsidP="003008C6">
      <w:pPr>
        <w:pStyle w:val="Tijeloteksta"/>
        <w:rPr>
          <w:sz w:val="22"/>
          <w:szCs w:val="22"/>
        </w:rPr>
      </w:pPr>
    </w:p>
    <w:p w:rsidR="00DD3F98" w:rsidRDefault="00950667" w:rsidP="00DD3F98">
      <w:pPr>
        <w:pStyle w:val="Tijeloteksta"/>
        <w:rPr>
          <w:sz w:val="22"/>
          <w:szCs w:val="22"/>
        </w:rPr>
      </w:pPr>
      <w:r w:rsidRPr="00DD3F98">
        <w:rPr>
          <w:sz w:val="22"/>
          <w:szCs w:val="22"/>
        </w:rPr>
        <w:t>U cilju povećanja autonomije lokalnih vlasti i smanjenja ovisnosti jedinica lokalne samouprave o prijenosima središnje države, člankom 8. Zakona o izmjenama i dopuni Zakona o lokalnim porezima proširen je raspon u kojem su jedinice lokalne samouprave ovlaštene samostalno propisivati visinu poreza na kuće za odmor po metru kvadratnom korisne površine kuće za odmor, tako da mogući raspon za utvr</w:t>
      </w:r>
      <w:r w:rsidR="002B67F8" w:rsidRPr="00DD3F98">
        <w:rPr>
          <w:sz w:val="22"/>
          <w:szCs w:val="22"/>
        </w:rPr>
        <w:t>đi</w:t>
      </w:r>
      <w:r w:rsidRPr="00DD3F98">
        <w:rPr>
          <w:sz w:val="22"/>
          <w:szCs w:val="22"/>
        </w:rPr>
        <w:t>vanje visine poreza na kuće za odmor iznosi od 0,60 do 5,00 eura po metr</w:t>
      </w:r>
      <w:r w:rsidR="002B67F8" w:rsidRPr="00DD3F98">
        <w:rPr>
          <w:sz w:val="22"/>
          <w:szCs w:val="22"/>
        </w:rPr>
        <w:t>u</w:t>
      </w:r>
      <w:r w:rsidRPr="00DD3F98">
        <w:rPr>
          <w:sz w:val="22"/>
          <w:szCs w:val="22"/>
        </w:rPr>
        <w:t xml:space="preserve"> kvadratnom korisne površine kuće za odmor (za razliku od dosadašnjeg raspona koji je iznosio od 0,66 do 1,99 eura po met</w:t>
      </w:r>
      <w:r w:rsidR="00DD3F98">
        <w:rPr>
          <w:sz w:val="22"/>
          <w:szCs w:val="22"/>
        </w:rPr>
        <w:t>ru kvadratnom korisne površine)</w:t>
      </w:r>
    </w:p>
    <w:p w:rsidR="00DD3F98" w:rsidRDefault="00DD3F98" w:rsidP="00DD3F98">
      <w:pPr>
        <w:pStyle w:val="Tijeloteksta"/>
        <w:rPr>
          <w:sz w:val="22"/>
          <w:szCs w:val="22"/>
        </w:rPr>
      </w:pPr>
    </w:p>
    <w:p w:rsidR="00DD3F98" w:rsidRDefault="00DD3F98" w:rsidP="00DD3F98">
      <w:pPr>
        <w:pStyle w:val="Tijeloteksta"/>
        <w:rPr>
          <w:sz w:val="22"/>
          <w:szCs w:val="22"/>
        </w:rPr>
      </w:pPr>
      <w:r w:rsidRPr="00DD3F98">
        <w:rPr>
          <w:sz w:val="22"/>
          <w:szCs w:val="22"/>
        </w:rPr>
        <w:t>Slijedom toga, a s obzirom na to da se dosadašnji zakonski raspon za utvrđivanje visine poreza na kuće za odmor nije mijenjao od 2010. godine, ovim se prijedlogom predlaže povećanje iznosa poreza na kuće za odmor na 4,00 eura po metru kvadratnom korisne površine kuće za odmor.</w:t>
      </w:r>
    </w:p>
    <w:p w:rsidR="00DD3F98" w:rsidRDefault="00DD3F98" w:rsidP="00DD3F98">
      <w:pPr>
        <w:pStyle w:val="Tijeloteksta"/>
        <w:rPr>
          <w:sz w:val="22"/>
          <w:szCs w:val="22"/>
        </w:rPr>
      </w:pPr>
    </w:p>
    <w:p w:rsidR="00DD3F98" w:rsidRPr="00DD3F98" w:rsidRDefault="00DD3F98" w:rsidP="00DD3F98">
      <w:pPr>
        <w:pStyle w:val="Tijeloteksta"/>
        <w:rPr>
          <w:spacing w:val="-2"/>
          <w:sz w:val="22"/>
          <w:szCs w:val="22"/>
        </w:rPr>
      </w:pPr>
      <w:r w:rsidRPr="00DD3F98">
        <w:rPr>
          <w:sz w:val="22"/>
          <w:szCs w:val="22"/>
        </w:rPr>
        <w:t>Člankom</w:t>
      </w:r>
      <w:r w:rsidRPr="00DD3F98">
        <w:rPr>
          <w:spacing w:val="-3"/>
          <w:sz w:val="22"/>
          <w:szCs w:val="22"/>
        </w:rPr>
        <w:t xml:space="preserve"> </w:t>
      </w:r>
      <w:r w:rsidRPr="00DD3F98">
        <w:rPr>
          <w:sz w:val="22"/>
          <w:szCs w:val="22"/>
        </w:rPr>
        <w:t>42.</w:t>
      </w:r>
      <w:r w:rsidRPr="00DD3F98">
        <w:rPr>
          <w:spacing w:val="-6"/>
          <w:sz w:val="22"/>
          <w:szCs w:val="22"/>
        </w:rPr>
        <w:t xml:space="preserve"> </w:t>
      </w:r>
      <w:r w:rsidRPr="00DD3F98">
        <w:rPr>
          <w:sz w:val="22"/>
          <w:szCs w:val="22"/>
        </w:rPr>
        <w:t>stavkom</w:t>
      </w:r>
      <w:r w:rsidRPr="00DD3F98">
        <w:rPr>
          <w:spacing w:val="-1"/>
          <w:sz w:val="22"/>
          <w:szCs w:val="22"/>
        </w:rPr>
        <w:t xml:space="preserve"> </w:t>
      </w:r>
      <w:r w:rsidRPr="00DD3F98">
        <w:rPr>
          <w:sz w:val="22"/>
          <w:szCs w:val="22"/>
        </w:rPr>
        <w:t>2.</w:t>
      </w:r>
      <w:r w:rsidRPr="00DD3F98">
        <w:rPr>
          <w:spacing w:val="-14"/>
          <w:sz w:val="22"/>
          <w:szCs w:val="22"/>
        </w:rPr>
        <w:t xml:space="preserve"> </w:t>
      </w:r>
      <w:r w:rsidRPr="00DD3F98">
        <w:rPr>
          <w:sz w:val="22"/>
          <w:szCs w:val="22"/>
        </w:rPr>
        <w:t>uvodnog</w:t>
      </w:r>
      <w:r w:rsidRPr="00DD3F98">
        <w:rPr>
          <w:spacing w:val="-2"/>
          <w:sz w:val="22"/>
          <w:szCs w:val="22"/>
        </w:rPr>
        <w:t xml:space="preserve"> </w:t>
      </w:r>
      <w:r w:rsidRPr="00DD3F98">
        <w:rPr>
          <w:sz w:val="22"/>
          <w:szCs w:val="22"/>
        </w:rPr>
        <w:t>Zakona</w:t>
      </w:r>
      <w:r w:rsidRPr="00DD3F98">
        <w:rPr>
          <w:spacing w:val="-4"/>
          <w:sz w:val="22"/>
          <w:szCs w:val="22"/>
        </w:rPr>
        <w:t xml:space="preserve"> </w:t>
      </w:r>
      <w:r w:rsidRPr="00DD3F98">
        <w:rPr>
          <w:sz w:val="22"/>
          <w:szCs w:val="22"/>
        </w:rPr>
        <w:t>o</w:t>
      </w:r>
      <w:r w:rsidRPr="00DD3F98">
        <w:rPr>
          <w:spacing w:val="-6"/>
          <w:sz w:val="22"/>
          <w:szCs w:val="22"/>
        </w:rPr>
        <w:t xml:space="preserve"> </w:t>
      </w:r>
      <w:r w:rsidRPr="00DD3F98">
        <w:rPr>
          <w:sz w:val="22"/>
          <w:szCs w:val="22"/>
        </w:rPr>
        <w:t>lokalnim</w:t>
      </w:r>
      <w:r w:rsidRPr="00DD3F98">
        <w:rPr>
          <w:spacing w:val="-2"/>
          <w:sz w:val="22"/>
          <w:szCs w:val="22"/>
        </w:rPr>
        <w:t xml:space="preserve"> </w:t>
      </w:r>
      <w:r w:rsidRPr="00DD3F98">
        <w:rPr>
          <w:sz w:val="22"/>
          <w:szCs w:val="22"/>
        </w:rPr>
        <w:t>porezima</w:t>
      </w:r>
      <w:r w:rsidRPr="00DD3F98">
        <w:rPr>
          <w:spacing w:val="40"/>
          <w:sz w:val="22"/>
          <w:szCs w:val="22"/>
        </w:rPr>
        <w:t xml:space="preserve"> </w:t>
      </w:r>
      <w:r w:rsidRPr="00DD3F98">
        <w:rPr>
          <w:sz w:val="22"/>
          <w:szCs w:val="22"/>
        </w:rPr>
        <w:t>propisano je</w:t>
      </w:r>
      <w:r w:rsidRPr="00DD3F98">
        <w:rPr>
          <w:spacing w:val="-12"/>
          <w:sz w:val="22"/>
          <w:szCs w:val="22"/>
        </w:rPr>
        <w:t xml:space="preserve"> </w:t>
      </w:r>
      <w:r w:rsidRPr="00DD3F98">
        <w:rPr>
          <w:sz w:val="22"/>
          <w:szCs w:val="22"/>
        </w:rPr>
        <w:t>da se odluka predstavničkog tijela jedinice lokalne samouprave može mijenjati najkasnije do</w:t>
      </w:r>
      <w:r w:rsidRPr="00DD3F98">
        <w:rPr>
          <w:spacing w:val="-10"/>
          <w:sz w:val="22"/>
          <w:szCs w:val="22"/>
        </w:rPr>
        <w:t xml:space="preserve"> </w:t>
      </w:r>
      <w:r w:rsidRPr="00DD3F98">
        <w:rPr>
          <w:sz w:val="22"/>
          <w:szCs w:val="22"/>
        </w:rPr>
        <w:t>15.</w:t>
      </w:r>
      <w:r w:rsidRPr="00DD3F98">
        <w:rPr>
          <w:spacing w:val="-11"/>
          <w:sz w:val="22"/>
          <w:szCs w:val="22"/>
        </w:rPr>
        <w:t xml:space="preserve"> </w:t>
      </w:r>
      <w:r w:rsidRPr="00DD3F98">
        <w:rPr>
          <w:sz w:val="22"/>
          <w:szCs w:val="22"/>
        </w:rPr>
        <w:t>prosinca tekuće</w:t>
      </w:r>
      <w:r w:rsidRPr="00DD3F98">
        <w:rPr>
          <w:spacing w:val="-7"/>
          <w:sz w:val="22"/>
          <w:szCs w:val="22"/>
        </w:rPr>
        <w:t xml:space="preserve"> </w:t>
      </w:r>
      <w:r w:rsidRPr="00DD3F98">
        <w:rPr>
          <w:sz w:val="22"/>
          <w:szCs w:val="22"/>
        </w:rPr>
        <w:t>godine</w:t>
      </w:r>
      <w:r w:rsidRPr="00DD3F98">
        <w:rPr>
          <w:spacing w:val="-1"/>
          <w:sz w:val="22"/>
          <w:szCs w:val="22"/>
        </w:rPr>
        <w:t xml:space="preserve"> </w:t>
      </w:r>
      <w:r w:rsidRPr="00DD3F98">
        <w:rPr>
          <w:sz w:val="22"/>
          <w:szCs w:val="22"/>
        </w:rPr>
        <w:t>te</w:t>
      </w:r>
      <w:r w:rsidRPr="00DD3F98">
        <w:rPr>
          <w:spacing w:val="-9"/>
          <w:sz w:val="22"/>
          <w:szCs w:val="22"/>
        </w:rPr>
        <w:t xml:space="preserve"> </w:t>
      </w:r>
      <w:r w:rsidRPr="00DD3F98">
        <w:rPr>
          <w:sz w:val="22"/>
          <w:szCs w:val="22"/>
        </w:rPr>
        <w:t>da</w:t>
      </w:r>
      <w:r w:rsidRPr="00DD3F98">
        <w:rPr>
          <w:spacing w:val="-4"/>
          <w:sz w:val="22"/>
          <w:szCs w:val="22"/>
        </w:rPr>
        <w:t xml:space="preserve"> </w:t>
      </w:r>
      <w:r w:rsidRPr="00DD3F98">
        <w:rPr>
          <w:sz w:val="22"/>
          <w:szCs w:val="22"/>
        </w:rPr>
        <w:t>stupa</w:t>
      </w:r>
      <w:r w:rsidRPr="00DD3F98">
        <w:rPr>
          <w:spacing w:val="-7"/>
          <w:sz w:val="22"/>
          <w:szCs w:val="22"/>
        </w:rPr>
        <w:t xml:space="preserve"> </w:t>
      </w:r>
      <w:r w:rsidRPr="00DD3F98">
        <w:rPr>
          <w:sz w:val="22"/>
          <w:szCs w:val="22"/>
        </w:rPr>
        <w:t>na</w:t>
      </w:r>
      <w:r w:rsidRPr="00DD3F98">
        <w:rPr>
          <w:spacing w:val="-9"/>
          <w:sz w:val="22"/>
          <w:szCs w:val="22"/>
        </w:rPr>
        <w:t xml:space="preserve"> </w:t>
      </w:r>
      <w:r w:rsidRPr="00DD3F98">
        <w:rPr>
          <w:sz w:val="22"/>
          <w:szCs w:val="22"/>
        </w:rPr>
        <w:t>snagu</w:t>
      </w:r>
      <w:r w:rsidRPr="00DD3F98">
        <w:rPr>
          <w:spacing w:val="-4"/>
          <w:sz w:val="22"/>
          <w:szCs w:val="22"/>
        </w:rPr>
        <w:t xml:space="preserve"> </w:t>
      </w:r>
      <w:r w:rsidRPr="00DD3F98">
        <w:rPr>
          <w:sz w:val="22"/>
          <w:szCs w:val="22"/>
        </w:rPr>
        <w:t>1.</w:t>
      </w:r>
      <w:r w:rsidRPr="00DD3F98">
        <w:rPr>
          <w:spacing w:val="-9"/>
          <w:sz w:val="22"/>
          <w:szCs w:val="22"/>
        </w:rPr>
        <w:t xml:space="preserve"> </w:t>
      </w:r>
      <w:r w:rsidRPr="00DD3F98">
        <w:rPr>
          <w:sz w:val="22"/>
          <w:szCs w:val="22"/>
        </w:rPr>
        <w:t xml:space="preserve">siječnja iduće </w:t>
      </w:r>
      <w:r w:rsidRPr="00DD3F98">
        <w:rPr>
          <w:spacing w:val="-2"/>
          <w:sz w:val="22"/>
          <w:szCs w:val="22"/>
        </w:rPr>
        <w:t>godine.</w:t>
      </w:r>
    </w:p>
    <w:p w:rsidR="00DD3F98" w:rsidRPr="00DD3F98" w:rsidRDefault="00DD3F98" w:rsidP="00DD3F98">
      <w:pPr>
        <w:pStyle w:val="Tijeloteksta"/>
        <w:rPr>
          <w:sz w:val="22"/>
          <w:szCs w:val="22"/>
        </w:rPr>
        <w:sectPr w:rsidR="00DD3F98" w:rsidRPr="00DD3F98">
          <w:footerReference w:type="default" r:id="rId7"/>
          <w:type w:val="continuous"/>
          <w:pgSz w:w="11910" w:h="16840"/>
          <w:pgMar w:top="960" w:right="1600" w:bottom="2040" w:left="1640" w:header="0" w:footer="1846" w:gutter="0"/>
          <w:pgNumType w:start="3"/>
          <w:cols w:space="720"/>
        </w:sectPr>
      </w:pPr>
      <w:bookmarkStart w:id="0" w:name="_GoBack"/>
      <w:bookmarkEnd w:id="0"/>
    </w:p>
    <w:p w:rsidR="007E0237" w:rsidRPr="00DD3F98" w:rsidRDefault="007E0237" w:rsidP="003008C6">
      <w:pPr>
        <w:pStyle w:val="Tijeloteksta"/>
        <w:rPr>
          <w:sz w:val="22"/>
          <w:szCs w:val="22"/>
        </w:rPr>
      </w:pPr>
    </w:p>
    <w:p w:rsidR="00630B77" w:rsidRPr="00DD3F98" w:rsidRDefault="00630B77" w:rsidP="003008C6">
      <w:pPr>
        <w:pStyle w:val="Tijeloteksta"/>
        <w:rPr>
          <w:spacing w:val="-2"/>
          <w:sz w:val="22"/>
          <w:szCs w:val="22"/>
        </w:rPr>
      </w:pPr>
    </w:p>
    <w:p w:rsidR="003220E9" w:rsidRPr="00DD3F98" w:rsidRDefault="00630B77" w:rsidP="003008C6">
      <w:pPr>
        <w:pStyle w:val="Tijeloteksta"/>
        <w:rPr>
          <w:sz w:val="22"/>
          <w:szCs w:val="22"/>
        </w:rPr>
      </w:pPr>
      <w:r w:rsidRPr="00DD3F98">
        <w:rPr>
          <w:sz w:val="22"/>
          <w:szCs w:val="22"/>
        </w:rPr>
        <w:t xml:space="preserve">Ovim prijedlogom Odluke predlaže se </w:t>
      </w:r>
      <w:r w:rsidR="009454FB" w:rsidRPr="00DD3F98">
        <w:rPr>
          <w:sz w:val="22"/>
          <w:szCs w:val="22"/>
        </w:rPr>
        <w:t>i</w:t>
      </w:r>
      <w:r w:rsidR="003008C6" w:rsidRPr="00DD3F98">
        <w:rPr>
          <w:sz w:val="22"/>
          <w:szCs w:val="22"/>
        </w:rPr>
        <w:t xml:space="preserve">zmjena i </w:t>
      </w:r>
      <w:r w:rsidRPr="00DD3F98">
        <w:rPr>
          <w:sz w:val="22"/>
          <w:szCs w:val="22"/>
        </w:rPr>
        <w:t>dopuna članka 12. važeć</w:t>
      </w:r>
      <w:r w:rsidR="003220E9" w:rsidRPr="00DD3F98">
        <w:rPr>
          <w:sz w:val="22"/>
          <w:szCs w:val="22"/>
        </w:rPr>
        <w:t>e</w:t>
      </w:r>
      <w:r w:rsidRPr="00DD3F98">
        <w:rPr>
          <w:sz w:val="22"/>
          <w:szCs w:val="22"/>
        </w:rPr>
        <w:t xml:space="preserve"> Odluk</w:t>
      </w:r>
      <w:r w:rsidR="003220E9" w:rsidRPr="00DD3F98">
        <w:rPr>
          <w:sz w:val="22"/>
          <w:szCs w:val="22"/>
        </w:rPr>
        <w:t>e</w:t>
      </w:r>
      <w:r w:rsidRPr="00DD3F98">
        <w:rPr>
          <w:sz w:val="22"/>
          <w:szCs w:val="22"/>
        </w:rPr>
        <w:t xml:space="preserve"> o porezima Grada Raba (»Službene novine Primorsko-goranske županije« broj 43/22).</w:t>
      </w:r>
      <w:r w:rsidR="003220E9" w:rsidRPr="00DD3F98">
        <w:rPr>
          <w:sz w:val="22"/>
          <w:szCs w:val="22"/>
        </w:rPr>
        <w:t xml:space="preserve"> U tom članku je navedena početna visina poreza</w:t>
      </w:r>
      <w:r w:rsidR="009454FB" w:rsidRPr="00DD3F98">
        <w:rPr>
          <w:sz w:val="22"/>
          <w:szCs w:val="22"/>
        </w:rPr>
        <w:t xml:space="preserve"> na korištenje javnih površina za raspisivanje natječaja za postavljanje kioska i drugih privremenih objekata koja se utvrđuje prema zonama i djelatnostima.</w:t>
      </w:r>
      <w:r w:rsidR="003008C6" w:rsidRPr="00DD3F98">
        <w:rPr>
          <w:sz w:val="22"/>
          <w:szCs w:val="22"/>
        </w:rPr>
        <w:t xml:space="preserve"> Novi prijedlog početne visine poreza na korištenje javnih površina za raspisivanje natječaja za postavljanje štandova po m2 iznosi:</w:t>
      </w:r>
    </w:p>
    <w:p w:rsidR="003008C6" w:rsidRPr="00DD3F98" w:rsidRDefault="003008C6" w:rsidP="003008C6">
      <w:pPr>
        <w:jc w:val="both"/>
      </w:pPr>
    </w:p>
    <w:tbl>
      <w:tblPr>
        <w:tblW w:w="8931" w:type="dxa"/>
        <w:tblInd w:w="-5" w:type="dxa"/>
        <w:tblLook w:val="0000" w:firstRow="0" w:lastRow="0" w:firstColumn="0" w:lastColumn="0" w:noHBand="0" w:noVBand="0"/>
      </w:tblPr>
      <w:tblGrid>
        <w:gridCol w:w="709"/>
        <w:gridCol w:w="5409"/>
        <w:gridCol w:w="1360"/>
        <w:gridCol w:w="1453"/>
      </w:tblGrid>
      <w:tr w:rsidR="003008C6" w:rsidRPr="00DD3F98" w:rsidTr="003008C6">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 </w:t>
            </w:r>
          </w:p>
        </w:tc>
        <w:tc>
          <w:tcPr>
            <w:tcW w:w="5409" w:type="dxa"/>
            <w:tcBorders>
              <w:top w:val="single" w:sz="4" w:space="0" w:color="auto"/>
              <w:left w:val="nil"/>
              <w:bottom w:val="single" w:sz="4" w:space="0" w:color="auto"/>
              <w:right w:val="single" w:sz="4" w:space="0" w:color="auto"/>
            </w:tcBorders>
            <w:shd w:val="clear" w:color="auto" w:fill="auto"/>
            <w:noWrap/>
            <w:vAlign w:val="center"/>
          </w:tcPr>
          <w:p w:rsidR="003008C6" w:rsidRPr="00DD3F98" w:rsidRDefault="003008C6" w:rsidP="00434C64">
            <w:r w:rsidRPr="00DD3F98">
              <w:t> </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3008C6" w:rsidRPr="00DD3F98" w:rsidRDefault="003008C6" w:rsidP="00434C64">
            <w:pPr>
              <w:jc w:val="center"/>
              <w:rPr>
                <w:b/>
                <w:bCs/>
              </w:rPr>
            </w:pPr>
            <w:r w:rsidRPr="00DD3F98">
              <w:rPr>
                <w:b/>
                <w:bCs/>
              </w:rPr>
              <w:t>Euro</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3008C6" w:rsidRPr="00DD3F98" w:rsidRDefault="003008C6" w:rsidP="00434C64">
            <w:pPr>
              <w:jc w:val="center"/>
              <w:rPr>
                <w:b/>
                <w:bCs/>
              </w:rPr>
            </w:pPr>
            <w:r w:rsidRPr="00DD3F98">
              <w:rPr>
                <w:b/>
                <w:bCs/>
              </w:rPr>
              <w:t>Kuna</w:t>
            </w:r>
          </w:p>
        </w:tc>
      </w:tr>
      <w:tr w:rsidR="003008C6" w:rsidRPr="00DD3F98" w:rsidTr="003008C6">
        <w:trPr>
          <w:trHeight w:val="315"/>
        </w:trPr>
        <w:tc>
          <w:tcPr>
            <w:tcW w:w="61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008C6" w:rsidRPr="00DD3F98" w:rsidRDefault="003008C6" w:rsidP="00434C64">
            <w:pPr>
              <w:rPr>
                <w:b/>
                <w:bCs/>
              </w:rPr>
            </w:pPr>
            <w:r w:rsidRPr="00DD3F98">
              <w:rPr>
                <w:b/>
                <w:bCs/>
              </w:rPr>
              <w:t> </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r w:rsidRPr="00DD3F98">
              <w:t> </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r w:rsidRPr="00DD3F98">
              <w:t> </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 xml:space="preserve">1. </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 xml:space="preserve">Za projekciju video spotova </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150,00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1.130,18</w:t>
            </w:r>
          </w:p>
        </w:tc>
      </w:tr>
      <w:tr w:rsidR="003008C6" w:rsidRPr="00DD3F98" w:rsidTr="003008C6">
        <w:trPr>
          <w:trHeight w:val="447"/>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2.</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Štandovi za trgovinu neprehrambenih proizvoda</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293,10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2.208,36</w:t>
            </w:r>
          </w:p>
        </w:tc>
      </w:tr>
      <w:tr w:rsidR="003008C6" w:rsidRPr="00DD3F98" w:rsidTr="003008C6">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 xml:space="preserve">3. </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 xml:space="preserve">Za postavljanje postolja za prodaju nakita, suvenira, tetovaža i sl. </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380,00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2.863,11</w:t>
            </w:r>
          </w:p>
        </w:tc>
      </w:tr>
      <w:tr w:rsidR="003008C6" w:rsidRPr="00DD3F98" w:rsidTr="003008C6">
        <w:trPr>
          <w:trHeight w:val="378"/>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4.</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 xml:space="preserve">Za pripremu i prodaju prehrambenih proizvoda  </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565,00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4.256,99</w:t>
            </w:r>
          </w:p>
        </w:tc>
      </w:tr>
      <w:tr w:rsidR="003008C6" w:rsidRPr="00DD3F98" w:rsidTr="003008C6">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5.</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Za prodaju balona i jedne vrste manjih svjetlosno letećih igračaka</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730,00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5.500,19</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6.</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 xml:space="preserve">Postava kioska za prodaju tiskovina </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715,00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5.387,17</w:t>
            </w:r>
          </w:p>
        </w:tc>
      </w:tr>
      <w:tr w:rsidR="003008C6" w:rsidRPr="00DD3F98" w:rsidTr="003008C6">
        <w:trPr>
          <w:trHeight w:val="387"/>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7.</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 xml:space="preserve">Zapostavljanje kofera prodaju nakita i suvenira </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565,00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4.256,99</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8.</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 xml:space="preserve">Za prodaju slika </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60,00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452,07</w:t>
            </w:r>
          </w:p>
        </w:tc>
      </w:tr>
      <w:tr w:rsidR="003008C6" w:rsidRPr="00DD3F98" w:rsidTr="003008C6">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9.</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Za iznajmljivanje električnih romobila, bicikala i sl.</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77,50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583,92</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10.</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 xml:space="preserve">Za postavu piste za konjiće </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24,00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180,83</w:t>
            </w:r>
          </w:p>
        </w:tc>
      </w:tr>
      <w:tr w:rsidR="003008C6" w:rsidRPr="00DD3F98" w:rsidTr="003008C6">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11.</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Za postavljanje kioska za ugostiteljstvo (1 godina)</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192,00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1.446,62</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12.</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 xml:space="preserve">Za postavu sportsko - rekreativnog sadržaja </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18,60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140,14</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13.</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 xml:space="preserve">Kiosk za prodaju neprehrambenih proizvoda </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133,00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1.002,09</w:t>
            </w:r>
          </w:p>
        </w:tc>
      </w:tr>
      <w:tr w:rsidR="003008C6" w:rsidRPr="00DD3F98" w:rsidTr="003008C6">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14.</w:t>
            </w:r>
          </w:p>
        </w:tc>
        <w:tc>
          <w:tcPr>
            <w:tcW w:w="5409" w:type="dxa"/>
            <w:tcBorders>
              <w:top w:val="nil"/>
              <w:left w:val="nil"/>
              <w:bottom w:val="single" w:sz="4" w:space="0" w:color="auto"/>
              <w:right w:val="single" w:sz="4" w:space="0" w:color="auto"/>
            </w:tcBorders>
            <w:shd w:val="clear" w:color="auto" w:fill="auto"/>
            <w:vAlign w:val="center"/>
          </w:tcPr>
          <w:p w:rsidR="003008C6" w:rsidRPr="00DD3F98" w:rsidRDefault="003008C6" w:rsidP="00434C64">
            <w:r w:rsidRPr="00DD3F98">
              <w:t xml:space="preserve">Kiosk za prodaju neprehrambenih proizvoda - </w:t>
            </w:r>
            <w:smartTag w:uri="urn:schemas-microsoft-com:office:smarttags" w:element="metricconverter">
              <w:smartTagPr>
                <w:attr w:name="ProductID" w:val="8 m2"/>
              </w:smartTagPr>
              <w:r w:rsidRPr="00DD3F98">
                <w:t>8 m2</w:t>
              </w:r>
            </w:smartTag>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207,50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1.563,41</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15.</w:t>
            </w:r>
          </w:p>
        </w:tc>
        <w:tc>
          <w:tcPr>
            <w:tcW w:w="5409"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r w:rsidRPr="00DD3F98">
              <w:t xml:space="preserve">Kiosk za ugostiteljstvo - </w:t>
            </w:r>
            <w:smartTag w:uri="urn:schemas-microsoft-com:office:smarttags" w:element="metricconverter">
              <w:smartTagPr>
                <w:attr w:name="ProductID" w:val="20 m2"/>
              </w:smartTagPr>
              <w:r w:rsidRPr="00DD3F98">
                <w:t>20 m2</w:t>
              </w:r>
            </w:smartTag>
            <w:r w:rsidRPr="00DD3F98">
              <w:t xml:space="preserve"> (5 godina)</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312,00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2.350,76</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16.</w:t>
            </w:r>
          </w:p>
        </w:tc>
        <w:tc>
          <w:tcPr>
            <w:tcW w:w="5409"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r w:rsidRPr="00DD3F98">
              <w:t xml:space="preserve">Kiosk za trgovinu - </w:t>
            </w:r>
            <w:smartTag w:uri="urn:schemas-microsoft-com:office:smarttags" w:element="metricconverter">
              <w:smartTagPr>
                <w:attr w:name="ProductID" w:val="20 m2"/>
              </w:smartTagPr>
              <w:r w:rsidRPr="00DD3F98">
                <w:t>20 m2</w:t>
              </w:r>
            </w:smartTag>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166,00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1.250,73</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17.</w:t>
            </w:r>
          </w:p>
        </w:tc>
        <w:tc>
          <w:tcPr>
            <w:tcW w:w="5409"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r w:rsidRPr="00DD3F98">
              <w:t>Za poligon za autoškole</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2.400,00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18.082,80</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 xml:space="preserve">18. </w:t>
            </w:r>
          </w:p>
        </w:tc>
        <w:tc>
          <w:tcPr>
            <w:tcW w:w="5409"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r w:rsidRPr="00DD3F98">
              <w:t>Kiosk za agenciju (3 godine)</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55,62</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419,07</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19.</w:t>
            </w:r>
          </w:p>
        </w:tc>
        <w:tc>
          <w:tcPr>
            <w:tcW w:w="5409"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r w:rsidRPr="00DD3F98">
              <w:t>Postava kućica u Adventu</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66,36</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499,99</w:t>
            </w:r>
          </w:p>
        </w:tc>
      </w:tr>
      <w:tr w:rsidR="003008C6" w:rsidRPr="00DD3F98" w:rsidTr="003008C6">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3008C6" w:rsidRPr="00DD3F98" w:rsidRDefault="003008C6" w:rsidP="00434C64">
            <w:r w:rsidRPr="00DD3F98">
              <w:t>20.</w:t>
            </w:r>
          </w:p>
        </w:tc>
        <w:tc>
          <w:tcPr>
            <w:tcW w:w="5409"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r w:rsidRPr="00DD3F98">
              <w:t>Postav dalekozora</w:t>
            </w:r>
          </w:p>
        </w:tc>
        <w:tc>
          <w:tcPr>
            <w:tcW w:w="1360"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531,20</w:t>
            </w:r>
          </w:p>
        </w:tc>
        <w:tc>
          <w:tcPr>
            <w:tcW w:w="1453" w:type="dxa"/>
            <w:tcBorders>
              <w:top w:val="nil"/>
              <w:left w:val="nil"/>
              <w:bottom w:val="single" w:sz="4" w:space="0" w:color="auto"/>
              <w:right w:val="single" w:sz="4" w:space="0" w:color="auto"/>
            </w:tcBorders>
            <w:shd w:val="clear" w:color="auto" w:fill="auto"/>
            <w:noWrap/>
            <w:vAlign w:val="center"/>
          </w:tcPr>
          <w:p w:rsidR="003008C6" w:rsidRPr="00DD3F98" w:rsidRDefault="003008C6" w:rsidP="00434C64">
            <w:pPr>
              <w:jc w:val="right"/>
            </w:pPr>
            <w:r w:rsidRPr="00DD3F98">
              <w:t>4.002,33</w:t>
            </w:r>
          </w:p>
        </w:tc>
      </w:tr>
    </w:tbl>
    <w:p w:rsidR="00630B77" w:rsidRPr="00DD3F98" w:rsidRDefault="00630B77">
      <w:pPr>
        <w:pStyle w:val="Tijeloteksta"/>
        <w:spacing w:before="1" w:line="235" w:lineRule="auto"/>
        <w:ind w:left="133" w:right="136"/>
        <w:jc w:val="both"/>
        <w:rPr>
          <w:sz w:val="22"/>
          <w:szCs w:val="22"/>
        </w:rPr>
      </w:pPr>
    </w:p>
    <w:p w:rsidR="007E0237" w:rsidRPr="00DD3F98" w:rsidRDefault="007E0237">
      <w:pPr>
        <w:pStyle w:val="Tijeloteksta"/>
        <w:spacing w:before="11"/>
        <w:rPr>
          <w:sz w:val="22"/>
          <w:szCs w:val="22"/>
        </w:rPr>
      </w:pPr>
    </w:p>
    <w:p w:rsidR="007E0237" w:rsidRPr="00DD3F98" w:rsidRDefault="00950667" w:rsidP="003008C6">
      <w:pPr>
        <w:pStyle w:val="Tijeloteksta"/>
        <w:rPr>
          <w:sz w:val="22"/>
          <w:szCs w:val="22"/>
        </w:rPr>
      </w:pPr>
      <w:r w:rsidRPr="00DD3F98">
        <w:rPr>
          <w:sz w:val="22"/>
          <w:szCs w:val="22"/>
        </w:rPr>
        <w:t>Odluka za koju se provodi ovo savjetovanje s javnošću planira se donijeti najkasnije do 15. prosinca 2023. godine. Pozivaju se zainteresirane osobe na dostavljanje prijedloga, odnosno mišljenja u svezi s nacrtom akta.</w:t>
      </w:r>
    </w:p>
    <w:p w:rsidR="007E0237" w:rsidRPr="00DD3F98" w:rsidRDefault="007E0237" w:rsidP="003008C6">
      <w:pPr>
        <w:pStyle w:val="Tijeloteksta"/>
        <w:rPr>
          <w:sz w:val="22"/>
          <w:szCs w:val="22"/>
        </w:rPr>
      </w:pPr>
    </w:p>
    <w:p w:rsidR="007E0237" w:rsidRPr="00DD3F98" w:rsidRDefault="007E0237" w:rsidP="003008C6">
      <w:pPr>
        <w:pStyle w:val="Tijeloteksta"/>
        <w:rPr>
          <w:sz w:val="22"/>
          <w:szCs w:val="22"/>
        </w:rPr>
      </w:pPr>
    </w:p>
    <w:p w:rsidR="007E0237" w:rsidRPr="00DD3F98" w:rsidRDefault="00B313AC" w:rsidP="003008C6">
      <w:pPr>
        <w:pStyle w:val="Tijeloteksta"/>
        <w:rPr>
          <w:sz w:val="22"/>
          <w:szCs w:val="22"/>
        </w:rPr>
      </w:pPr>
      <w:r w:rsidRPr="00DD3F98">
        <w:rPr>
          <w:sz w:val="22"/>
          <w:szCs w:val="22"/>
        </w:rPr>
        <w:t>Rab, 09.11.2023.</w:t>
      </w:r>
    </w:p>
    <w:p w:rsidR="007E0237" w:rsidRPr="00DD3F98" w:rsidRDefault="007E0237" w:rsidP="003008C6">
      <w:pPr>
        <w:pStyle w:val="Tijeloteksta"/>
        <w:rPr>
          <w:sz w:val="22"/>
          <w:szCs w:val="22"/>
        </w:rPr>
      </w:pPr>
    </w:p>
    <w:p w:rsidR="007E0237" w:rsidRPr="00DD3F98" w:rsidRDefault="00950667" w:rsidP="00DD3F98">
      <w:pPr>
        <w:pStyle w:val="Tijeloteksta"/>
        <w:jc w:val="right"/>
        <w:rPr>
          <w:sz w:val="22"/>
          <w:szCs w:val="22"/>
        </w:rPr>
      </w:pPr>
      <w:r w:rsidRPr="00DD3F98">
        <w:rPr>
          <w:sz w:val="22"/>
          <w:szCs w:val="22"/>
        </w:rPr>
        <w:t>UPRAVNI ODJEL</w:t>
      </w:r>
      <w:r w:rsidR="00B313AC" w:rsidRPr="00DD3F98">
        <w:rPr>
          <w:sz w:val="22"/>
          <w:szCs w:val="22"/>
        </w:rPr>
        <w:t xml:space="preserve"> ZA FINANCIJE</w:t>
      </w:r>
    </w:p>
    <w:sectPr w:rsidR="007E0237" w:rsidRPr="00DD3F98">
      <w:pgSz w:w="11910" w:h="16840"/>
      <w:pgMar w:top="960" w:right="1600" w:bottom="2060" w:left="1640" w:header="0" w:footer="18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AF" w:rsidRDefault="00141CAF">
      <w:r>
        <w:separator/>
      </w:r>
    </w:p>
  </w:endnote>
  <w:endnote w:type="continuationSeparator" w:id="0">
    <w:p w:rsidR="00141CAF" w:rsidRDefault="0014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37" w:rsidRDefault="00FE5EFC">
    <w:pPr>
      <w:pStyle w:val="Tijeloteksta"/>
      <w:spacing w:line="14" w:lineRule="auto"/>
      <w:rPr>
        <w:sz w:val="20"/>
      </w:rPr>
    </w:pPr>
    <w:r>
      <w:rPr>
        <w:noProof/>
        <w:lang w:eastAsia="hr-HR"/>
      </w:rPr>
      <mc:AlternateContent>
        <mc:Choice Requires="wps">
          <w:drawing>
            <wp:anchor distT="0" distB="0" distL="114300" distR="114300" simplePos="0" relativeHeight="251657728" behindDoc="1" locked="0" layoutInCell="1" allowOverlap="1">
              <wp:simplePos x="0" y="0"/>
              <wp:positionH relativeFrom="page">
                <wp:posOffset>6330315</wp:posOffset>
              </wp:positionH>
              <wp:positionV relativeFrom="page">
                <wp:posOffset>9364980</wp:posOffset>
              </wp:positionV>
              <wp:extent cx="163195" cy="19621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237" w:rsidRDefault="007E0237">
                          <w:pPr>
                            <w:pStyle w:val="Tijeloteksta"/>
                            <w:spacing w:before="12"/>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98.45pt;margin-top:737.4pt;width:12.8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" filled="f" stroked="f">
              <v:textbox inset="0,0,0,0">
                <w:txbxContent>
                  <w:p w:rsidR="007E0237" w:rsidRDefault="007E0237">
                    <w:pPr>
                      <w:pStyle w:val="Tijeloteksta"/>
                      <w:spacing w:before="12"/>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AF" w:rsidRDefault="00141CAF">
      <w:r>
        <w:separator/>
      </w:r>
    </w:p>
  </w:footnote>
  <w:footnote w:type="continuationSeparator" w:id="0">
    <w:p w:rsidR="00141CAF" w:rsidRDefault="00141C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16F70"/>
    <w:multiLevelType w:val="hybridMultilevel"/>
    <w:tmpl w:val="BC967696"/>
    <w:lvl w:ilvl="0" w:tplc="CD1C4434">
      <w:start w:val="1"/>
      <w:numFmt w:val="upperRoman"/>
      <w:lvlText w:val="%1."/>
      <w:lvlJc w:val="left"/>
      <w:pPr>
        <w:ind w:left="334" w:hanging="191"/>
      </w:pPr>
      <w:rPr>
        <w:rFonts w:ascii="Arial" w:eastAsia="Arial" w:hAnsi="Arial" w:cs="Arial" w:hint="default"/>
        <w:b/>
        <w:bCs/>
        <w:i w:val="0"/>
        <w:iCs w:val="0"/>
        <w:color w:val="1D1D1D"/>
        <w:spacing w:val="-1"/>
        <w:w w:val="94"/>
        <w:sz w:val="24"/>
        <w:szCs w:val="24"/>
        <w:lang w:val="hr-HR" w:eastAsia="en-US" w:bidi="ar-SA"/>
      </w:rPr>
    </w:lvl>
    <w:lvl w:ilvl="1" w:tplc="0936C79E">
      <w:numFmt w:val="bullet"/>
      <w:lvlText w:val="•"/>
      <w:lvlJc w:val="left"/>
      <w:pPr>
        <w:ind w:left="1172" w:hanging="191"/>
      </w:pPr>
      <w:rPr>
        <w:rFonts w:hint="default"/>
        <w:lang w:val="hr-HR" w:eastAsia="en-US" w:bidi="ar-SA"/>
      </w:rPr>
    </w:lvl>
    <w:lvl w:ilvl="2" w:tplc="8074692C">
      <w:numFmt w:val="bullet"/>
      <w:lvlText w:val="•"/>
      <w:lvlJc w:val="left"/>
      <w:pPr>
        <w:ind w:left="2004" w:hanging="191"/>
      </w:pPr>
      <w:rPr>
        <w:rFonts w:hint="default"/>
        <w:lang w:val="hr-HR" w:eastAsia="en-US" w:bidi="ar-SA"/>
      </w:rPr>
    </w:lvl>
    <w:lvl w:ilvl="3" w:tplc="2AD0CBD6">
      <w:numFmt w:val="bullet"/>
      <w:lvlText w:val="•"/>
      <w:lvlJc w:val="left"/>
      <w:pPr>
        <w:ind w:left="2837" w:hanging="191"/>
      </w:pPr>
      <w:rPr>
        <w:rFonts w:hint="default"/>
        <w:lang w:val="hr-HR" w:eastAsia="en-US" w:bidi="ar-SA"/>
      </w:rPr>
    </w:lvl>
    <w:lvl w:ilvl="4" w:tplc="7E7AAC44">
      <w:numFmt w:val="bullet"/>
      <w:lvlText w:val="•"/>
      <w:lvlJc w:val="left"/>
      <w:pPr>
        <w:ind w:left="3669" w:hanging="191"/>
      </w:pPr>
      <w:rPr>
        <w:rFonts w:hint="default"/>
        <w:lang w:val="hr-HR" w:eastAsia="en-US" w:bidi="ar-SA"/>
      </w:rPr>
    </w:lvl>
    <w:lvl w:ilvl="5" w:tplc="41968B08">
      <w:numFmt w:val="bullet"/>
      <w:lvlText w:val="•"/>
      <w:lvlJc w:val="left"/>
      <w:pPr>
        <w:ind w:left="4502" w:hanging="191"/>
      </w:pPr>
      <w:rPr>
        <w:rFonts w:hint="default"/>
        <w:lang w:val="hr-HR" w:eastAsia="en-US" w:bidi="ar-SA"/>
      </w:rPr>
    </w:lvl>
    <w:lvl w:ilvl="6" w:tplc="4E14DEF2">
      <w:numFmt w:val="bullet"/>
      <w:lvlText w:val="•"/>
      <w:lvlJc w:val="left"/>
      <w:pPr>
        <w:ind w:left="5334" w:hanging="191"/>
      </w:pPr>
      <w:rPr>
        <w:rFonts w:hint="default"/>
        <w:lang w:val="hr-HR" w:eastAsia="en-US" w:bidi="ar-SA"/>
      </w:rPr>
    </w:lvl>
    <w:lvl w:ilvl="7" w:tplc="7E4A3CBC">
      <w:numFmt w:val="bullet"/>
      <w:lvlText w:val="•"/>
      <w:lvlJc w:val="left"/>
      <w:pPr>
        <w:ind w:left="6166" w:hanging="191"/>
      </w:pPr>
      <w:rPr>
        <w:rFonts w:hint="default"/>
        <w:lang w:val="hr-HR" w:eastAsia="en-US" w:bidi="ar-SA"/>
      </w:rPr>
    </w:lvl>
    <w:lvl w:ilvl="8" w:tplc="51EE7B2C">
      <w:numFmt w:val="bullet"/>
      <w:lvlText w:val="•"/>
      <w:lvlJc w:val="left"/>
      <w:pPr>
        <w:ind w:left="6999" w:hanging="191"/>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37"/>
    <w:rsid w:val="00141CAF"/>
    <w:rsid w:val="002B67F8"/>
    <w:rsid w:val="003008C6"/>
    <w:rsid w:val="003220E9"/>
    <w:rsid w:val="00630B77"/>
    <w:rsid w:val="007E0237"/>
    <w:rsid w:val="009454FB"/>
    <w:rsid w:val="00950667"/>
    <w:rsid w:val="00B313AC"/>
    <w:rsid w:val="00B551BB"/>
    <w:rsid w:val="00C428B9"/>
    <w:rsid w:val="00D573AC"/>
    <w:rsid w:val="00D7089A"/>
    <w:rsid w:val="00DD3F98"/>
    <w:rsid w:val="00FE5E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8B5A637"/>
  <w15:docId w15:val="{378074C9-7760-4141-8B53-BA5E06BA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hr-HR"/>
    </w:rPr>
  </w:style>
  <w:style w:type="paragraph" w:styleId="Naslov1">
    <w:name w:val="heading 1"/>
    <w:basedOn w:val="Normal"/>
    <w:uiPriority w:val="1"/>
    <w:qFormat/>
    <w:pPr>
      <w:ind w:left="132" w:hanging="192"/>
      <w:jc w:val="both"/>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132" w:hanging="192"/>
      <w:jc w:val="both"/>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3008C6"/>
    <w:pPr>
      <w:tabs>
        <w:tab w:val="center" w:pos="4536"/>
        <w:tab w:val="right" w:pos="9072"/>
      </w:tabs>
    </w:pPr>
  </w:style>
  <w:style w:type="character" w:customStyle="1" w:styleId="ZaglavljeChar">
    <w:name w:val="Zaglavlje Char"/>
    <w:basedOn w:val="Zadanifontodlomka"/>
    <w:link w:val="Zaglavlje"/>
    <w:uiPriority w:val="99"/>
    <w:rsid w:val="003008C6"/>
    <w:rPr>
      <w:rFonts w:ascii="Arial" w:eastAsia="Arial" w:hAnsi="Arial" w:cs="Arial"/>
      <w:lang w:val="hr-HR"/>
    </w:rPr>
  </w:style>
  <w:style w:type="paragraph" w:styleId="Podnoje">
    <w:name w:val="footer"/>
    <w:basedOn w:val="Normal"/>
    <w:link w:val="PodnojeChar"/>
    <w:uiPriority w:val="99"/>
    <w:unhideWhenUsed/>
    <w:rsid w:val="003008C6"/>
    <w:pPr>
      <w:tabs>
        <w:tab w:val="center" w:pos="4536"/>
        <w:tab w:val="right" w:pos="9072"/>
      </w:tabs>
    </w:pPr>
  </w:style>
  <w:style w:type="character" w:customStyle="1" w:styleId="PodnojeChar">
    <w:name w:val="Podnožje Char"/>
    <w:basedOn w:val="Zadanifontodlomka"/>
    <w:link w:val="Podnoje"/>
    <w:uiPriority w:val="99"/>
    <w:rsid w:val="003008C6"/>
    <w:rPr>
      <w:rFonts w:ascii="Arial" w:eastAsia="Arial" w:hAnsi="Arial" w:cs="Arial"/>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721</Words>
  <Characters>4115</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SKM_C250i23101712400</vt:lpstr>
      <vt:lpstr>SKM_C250i23101712400</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SKM_C250i23101712400</dc:title>
  <dc:creator>Kristina Dumičić</dc:creator>
  <cp:lastModifiedBy>Josipa Tonšić Blagdan</cp:lastModifiedBy>
  <cp:revision>4</cp:revision>
  <dcterms:created xsi:type="dcterms:W3CDTF">2023-11-09T13:37:00Z</dcterms:created>
  <dcterms:modified xsi:type="dcterms:W3CDTF">2023-11-09T13:43:00Z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KM_C250i</vt:lpwstr>
  </property>
  <property fmtid="{D5CDD505-2E9C-101B-9397-08002B2CF9AE}" pid="4" name="LastSaved">
    <vt:filetime>2023-11-09T00:00:00Z</vt:filetime>
  </property>
  <property fmtid="{D5CDD505-2E9C-101B-9397-08002B2CF9AE}" pid="5" name="Producer">
    <vt:lpwstr>KONICA MINOLTA bizhub C250i</vt:lpwstr>
  </property>
</Properties>
</file>